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</w:t>
      </w:r>
    </w:p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«МОЛОДЕЧНЕНСКИЙ ГОСУДАРСТВЕННЫЙ МЕДИЦИНСКИЙ КОЛЛЕДЖ</w:t>
      </w:r>
      <w:r w:rsidR="00696C53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ЗАЛУЦКОГО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Pr="008C676B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2C443D" w:rsidRDefault="002C443D" w:rsidP="002C443D">
      <w:pPr>
        <w:rPr>
          <w:lang w:val="ru-RU"/>
        </w:rPr>
      </w:pPr>
    </w:p>
    <w:p w:rsidR="008C676B" w:rsidRP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77593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877593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работе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УО «Молодечненский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3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государственный медицинский    колледж</w:t>
      </w:r>
      <w:r w:rsidR="00696C53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</w:t>
      </w:r>
      <w:proofErr w:type="spellStart"/>
      <w:r w:rsidR="00696C53">
        <w:rPr>
          <w:rFonts w:ascii="Times New Roman" w:hAnsi="Times New Roman" w:cs="Times New Roman"/>
          <w:sz w:val="28"/>
          <w:szCs w:val="28"/>
          <w:lang w:val="ru-RU"/>
        </w:rPr>
        <w:t>Залуцкого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 20__г.</w:t>
      </w:r>
    </w:p>
    <w:p w:rsidR="008C676B" w:rsidRPr="008C676B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733D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C676B" w:rsidRDefault="002C443D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C82CD4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2C443D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2C4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676B" w:rsidRPr="002C443D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</w:t>
      </w:r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«ПЕДИАТРИЯ»</w:t>
      </w:r>
    </w:p>
    <w:p w:rsidR="0020676A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</w:t>
      </w:r>
      <w:proofErr w:type="spellStart"/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01</w:t>
      </w:r>
      <w:proofErr w:type="spellEnd"/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«ЛЕЧЕБНОЕ ДЕЛО»</w:t>
      </w:r>
    </w:p>
    <w:p w:rsidR="0020676A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C443D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2C443D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2C443D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696C5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696C5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C676B" w:rsidRPr="008C676B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Default="002C443D" w:rsidP="002C443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</w:t>
      </w:r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___ </w:t>
      </w:r>
      <w:proofErr w:type="spellStart"/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proofErr w:type="gramStart"/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</w:t>
      </w: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>А.В. Асанова</w:t>
      </w: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33D49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733D49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2C443D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Экзаменационные материалы </w:t>
      </w:r>
    </w:p>
    <w:p w:rsidR="00EA086D" w:rsidRPr="002C443D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дисциплин</w:t>
      </w:r>
      <w:r w:rsidR="00733D49">
        <w:rPr>
          <w:rStyle w:val="FontStyle11"/>
          <w:b/>
          <w:sz w:val="28"/>
          <w:szCs w:val="28"/>
        </w:rPr>
        <w:t>а</w:t>
      </w:r>
      <w:r w:rsidR="009A4177">
        <w:rPr>
          <w:rStyle w:val="FontStyle11"/>
          <w:b/>
          <w:sz w:val="28"/>
          <w:szCs w:val="28"/>
        </w:rPr>
        <w:t xml:space="preserve"> «Педиатрия»</w:t>
      </w:r>
    </w:p>
    <w:p w:rsidR="005F14D3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733D49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</w:t>
      </w:r>
      <w:proofErr w:type="spellStart"/>
      <w:r>
        <w:rPr>
          <w:rStyle w:val="FontStyle11"/>
          <w:b/>
          <w:sz w:val="28"/>
          <w:szCs w:val="28"/>
        </w:rPr>
        <w:t>01</w:t>
      </w:r>
      <w:proofErr w:type="spellEnd"/>
      <w:r w:rsidR="005F14D3">
        <w:rPr>
          <w:rStyle w:val="FontStyle11"/>
          <w:b/>
          <w:sz w:val="28"/>
          <w:szCs w:val="28"/>
        </w:rPr>
        <w:t xml:space="preserve"> </w:t>
      </w:r>
      <w:r w:rsidRPr="002C443D">
        <w:rPr>
          <w:rStyle w:val="FontStyle11"/>
          <w:b/>
          <w:sz w:val="28"/>
          <w:szCs w:val="28"/>
        </w:rPr>
        <w:t>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5F14D3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  <w:lang w:val="en-US"/>
        </w:rPr>
        <w:t>II</w:t>
      </w:r>
      <w:r w:rsidR="002C443D">
        <w:rPr>
          <w:rStyle w:val="FontStyle11"/>
          <w:b/>
          <w:sz w:val="28"/>
          <w:szCs w:val="28"/>
        </w:rPr>
        <w:t xml:space="preserve"> курс</w:t>
      </w:r>
      <w:proofErr w:type="gramStart"/>
      <w:r w:rsidRPr="002C443D">
        <w:rPr>
          <w:rStyle w:val="FontStyle11"/>
          <w:b/>
          <w:sz w:val="28"/>
          <w:szCs w:val="28"/>
        </w:rPr>
        <w:t xml:space="preserve">, </w:t>
      </w:r>
      <w:r w:rsidR="005F14D3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  <w:lang w:val="en-US"/>
        </w:rPr>
        <w:t>IV</w:t>
      </w:r>
      <w:proofErr w:type="gramEnd"/>
      <w:r w:rsidR="002C443D" w:rsidRPr="005F14D3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</w:rPr>
        <w:t xml:space="preserve">семестр </w:t>
      </w:r>
    </w:p>
    <w:p w:rsidR="00EA086D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</w:t>
      </w:r>
      <w:r w:rsidR="00EA086D" w:rsidRPr="002C443D">
        <w:rPr>
          <w:rStyle w:val="FontStyle11"/>
          <w:b/>
          <w:sz w:val="28"/>
          <w:szCs w:val="28"/>
        </w:rPr>
        <w:t>1</w:t>
      </w:r>
      <w:r w:rsidR="00696C53">
        <w:rPr>
          <w:rStyle w:val="FontStyle11"/>
          <w:b/>
          <w:sz w:val="28"/>
          <w:szCs w:val="28"/>
        </w:rPr>
        <w:t>8</w:t>
      </w:r>
      <w:r w:rsidR="00EA086D" w:rsidRPr="002C443D">
        <w:rPr>
          <w:rStyle w:val="FontStyle11"/>
          <w:b/>
          <w:sz w:val="28"/>
          <w:szCs w:val="28"/>
        </w:rPr>
        <w:t>/201</w:t>
      </w:r>
      <w:r w:rsidR="00696C53">
        <w:rPr>
          <w:rStyle w:val="FontStyle11"/>
          <w:b/>
          <w:sz w:val="28"/>
          <w:szCs w:val="28"/>
        </w:rPr>
        <w:t>9</w:t>
      </w:r>
      <w:r w:rsidR="00EA086D"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2C443D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Система охраны материнства и детства в Республике Беларусь.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proofErr w:type="spellStart"/>
      <w:r w:rsidR="00EA086D" w:rsidRPr="008C676B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="00EA086D"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86D" w:rsidRPr="008C676B"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 w:rsidR="00EA086D"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86D" w:rsidRPr="008C676B">
        <w:rPr>
          <w:rFonts w:ascii="Times New Roman" w:hAnsi="Times New Roman" w:cs="Times New Roman"/>
          <w:sz w:val="28"/>
          <w:szCs w:val="28"/>
        </w:rPr>
        <w:t>недоношенности</w:t>
      </w:r>
      <w:proofErr w:type="spellEnd"/>
      <w:r w:rsidR="00EA086D"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86D" w:rsidRPr="008C676B">
        <w:rPr>
          <w:rFonts w:ascii="Times New Roman" w:hAnsi="Times New Roman" w:cs="Times New Roman"/>
          <w:sz w:val="28"/>
          <w:szCs w:val="28"/>
        </w:rPr>
        <w:t>переношенности</w:t>
      </w:r>
      <w:proofErr w:type="spellEnd"/>
      <w:r w:rsidR="00EA086D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C676B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</w:t>
      </w: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недоношенных</w:t>
      </w:r>
      <w:proofErr w:type="gramEnd"/>
      <w:r w:rsidRPr="008C676B">
        <w:rPr>
          <w:rFonts w:ascii="Times New Roman" w:hAnsi="Times New Roman" w:cs="Times New Roman"/>
          <w:sz w:val="28"/>
          <w:szCs w:val="28"/>
          <w:lang w:val="ru-RU"/>
        </w:rPr>
        <w:t>: способы и правила кормления.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Выхаживание в домашних условиях. Особенности развития недоношенных детей. Прогноз. </w:t>
      </w:r>
      <w:r w:rsidR="006544D3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психологические проблемы в работе с недоношенными детьми. Профилактика преждевременного рождения.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Микрофлора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желудочно-кишечного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тракта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стула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частично грудного (смешанного), искусственного вскармливания. Показания. Опасности искусственного питания. Виды современных молочных смесей. Выбор молочной смеси.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докорма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частично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грудного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искусственного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вскармливания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C676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Вскармливание детей старше одного года. Организация питания в детских дошкольных учреждениях и в  школе. Требования к качественному и количественному составу рациона. Распределение продуктов, объема и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калоража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дня. </w:t>
      </w:r>
      <w:proofErr w:type="spellStart"/>
      <w:proofErr w:type="gramStart"/>
      <w:r w:rsidRPr="008C676B">
        <w:rPr>
          <w:rFonts w:ascii="Times New Roman" w:hAnsi="Times New Roman" w:cs="Times New Roman"/>
          <w:sz w:val="28"/>
          <w:szCs w:val="28"/>
        </w:rPr>
        <w:t>Кулинарная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proofErr w:type="gram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загрязненной радионуклидами окружающей среды.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Употребление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экологически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чистых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Радиопротекторные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Выведение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радионуклидов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Нервно-психическое развитие (НПР), его особенности у детей раннего возраста. Оценка  уровня и гармоничности.  Значение воспитательных воздействий для правильного нервно-психического развития ребенка.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Определение. Влияние факторов внешней среды. Показатели физического развития, их оценка </w:t>
      </w: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>расчетным</w:t>
      </w:r>
      <w:proofErr w:type="gram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Половое созревание, его исследование и оценка.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</w:p>
    <w:p w:rsidR="0033655C" w:rsidRPr="008C676B" w:rsidRDefault="00005E2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Родовые травмы новорожденных: о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иды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редрасполагающие факторы. Травмы мягких тканей:  родовая опухоль, </w:t>
      </w:r>
      <w:proofErr w:type="spellStart"/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кефалогематома</w:t>
      </w:r>
      <w:proofErr w:type="spellEnd"/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возникновения, клиническая картина, диагностика, лечение,  принципы реабилитации, прогноз.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Гемолитическая болезнь новорожденных.  Определение гемолитической болезни новорожденных. Этиология. Патогенез. Клиническая картина отечной, желтушной и анемической форм. Диагностика.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Прогноз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E27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 Неинфекционные заболевания пуповинного  остатка и пупочной ранки:    кожный пупок, амниотический пуп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уход, профилактика. </w:t>
      </w:r>
    </w:p>
    <w:p w:rsidR="0033655C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везикулопустулез</w:t>
      </w:r>
      <w:proofErr w:type="spellEnd"/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, пузырчатка новорожденных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: причины и эпидемиология, клиническая картина. Лечение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Сепсис новорожденных. Определение сепсиса новорожденных. Этиология. Патогенез. Формы. Клиническая картина.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Лабораторная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Прогноз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Внутриутробная инфекция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. Этиология, патогенез, клиническая картина, диагностика, лечение. Профилактика.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Внутриутробная инфекция: врожденная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цитомегаловирусная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инфекция. Этиология, патогенез, клиническая картина, диагностика, лечение. Профилактика.</w:t>
      </w:r>
    </w:p>
    <w:p w:rsidR="006D7805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Рахит: определение, этиология, патогенез, клиническая картина, лабораторная диагностика, лечение, профилактика. </w:t>
      </w:r>
    </w:p>
    <w:p w:rsidR="0033655C" w:rsidRPr="008C676B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Гипервитаминоз</w:t>
      </w: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реабилитация. 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Спазмофилия: определение, этиология, патогенез, клиническая картина, лабораторная диагностика, лечение, профилактика. Диспансерное наблюдение и реабилитация.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опический</w:t>
      </w:r>
      <w:proofErr w:type="spellEnd"/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дерматит. Определение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Этиология. Патогенез. Клиническая картина в зависимости от возраста.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Лабораторная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Гипотрофия. Определение, степени тяжести, клиническая картина. Принципы лечения, уход. Диспансерное наблюдение и реабилитация.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Паратрофия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>, определение, причины развития. Лечение. Уход. Диспансерное наблюдение и реабилитация.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Расчет дефицита и избытка массы тела. Определение степени тяжести гипотрофии. Назначение диеты, лечебных процедур. 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– физиологические особенности органов дыхания у детей раннего возраста. Острый ринит: этиология, патогенез, клиническая картина, возможные осложнения.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Лечение, уход,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Острый ларингит со стенозом гортани: этиология, патогенез, клиническая картина, возможные осложнения.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дифференциальная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33655C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Острый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обструктивный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ронхит у детей. Этиология, патогенез, клиническая картина, возможные осложнения. Диагностика, дифференциальная диагностика. Лечение, уход, профилактика. 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>.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грудной клетки. Принципы лечения. Уход.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Стоматиты. Этиология. Клиническая картина </w:t>
      </w: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катарального</w:t>
      </w:r>
      <w:proofErr w:type="gram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герпетического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кандидозного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стоматитов.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AB8" w:rsidRPr="008C676B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Трихоцефалёз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C676B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сердца  и сосудов у детей. Врожденные пороки сердца. Определение. Этиология. Классификация. Клинические признаки. Фазы течения. Лечение. Уход.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  <w:proofErr w:type="gramEnd"/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Сосудистые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дистонии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Этиология. Патогенез. Клиническая картина. Диагностика, дифференциальная диагностика. Принципы лечения Профилактика. </w:t>
      </w:r>
    </w:p>
    <w:p w:rsidR="006D7805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– физиологические особенности системы крови.   Особенности строения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лимфоузлов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>, вилочковой железы, селезенки, миндалин. Показатели гемограммы  у детей разного возраста. Свертывающая система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возраста. Диагностика. Лечение. Уход.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Лейкозы у детей. Этиология. Клиническая картина. Лабораторная диагностика. Принципы лечения. Уход.</w:t>
      </w:r>
    </w:p>
    <w:p w:rsidR="006544D3" w:rsidRPr="008C676B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Диспансерное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наблюдение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Прогноз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6544D3" w:rsidRPr="008C676B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Диспансерное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наблюдение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Прогноз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>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Неотложная помощь при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гипоксемических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состояниях</w:t>
      </w:r>
      <w:r w:rsidR="00C131C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44D3" w:rsidRPr="008C676B">
        <w:rPr>
          <w:rFonts w:ascii="Times New Roman" w:hAnsi="Times New Roman" w:cs="Times New Roman"/>
          <w:sz w:val="28"/>
          <w:szCs w:val="28"/>
          <w:lang w:val="ru-RU"/>
        </w:rPr>
        <w:t>при обмороке и коллапсе)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носовом кровотечении.</w:t>
      </w:r>
    </w:p>
    <w:p w:rsidR="00775B7C" w:rsidRDefault="00775B7C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676A" w:rsidRDefault="0020676A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C676B" w:rsidRDefault="002C443D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b/>
          <w:bCs/>
          <w:sz w:val="28"/>
          <w:szCs w:val="28"/>
        </w:rPr>
        <w:lastRenderedPageBreak/>
        <w:t>Перечень манипуляций</w:t>
      </w:r>
    </w:p>
    <w:p w:rsidR="002C443D" w:rsidRP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дисциплин</w:t>
      </w:r>
      <w:r w:rsidR="00733D49">
        <w:rPr>
          <w:rStyle w:val="FontStyle11"/>
          <w:b/>
          <w:sz w:val="28"/>
          <w:szCs w:val="28"/>
        </w:rPr>
        <w:t>а «Педиатрия»</w:t>
      </w:r>
    </w:p>
    <w:p w:rsidR="005F14D3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733D49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</w:t>
      </w:r>
      <w:proofErr w:type="spellStart"/>
      <w:r>
        <w:rPr>
          <w:rStyle w:val="FontStyle11"/>
          <w:b/>
          <w:sz w:val="28"/>
          <w:szCs w:val="28"/>
        </w:rPr>
        <w:t>0</w:t>
      </w:r>
      <w:r w:rsidR="005F14D3">
        <w:rPr>
          <w:rStyle w:val="FontStyle11"/>
          <w:b/>
          <w:sz w:val="28"/>
          <w:szCs w:val="28"/>
        </w:rPr>
        <w:t>1</w:t>
      </w:r>
      <w:proofErr w:type="spellEnd"/>
      <w:r w:rsidR="005F14D3">
        <w:rPr>
          <w:rStyle w:val="FontStyle11"/>
          <w:b/>
          <w:sz w:val="28"/>
          <w:szCs w:val="28"/>
        </w:rPr>
        <w:t xml:space="preserve">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 w:rsid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семестр</w:t>
      </w:r>
    </w:p>
    <w:p w:rsid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201</w:t>
      </w:r>
      <w:r w:rsidR="00696C53">
        <w:rPr>
          <w:rStyle w:val="FontStyle11"/>
          <w:b/>
          <w:sz w:val="28"/>
          <w:szCs w:val="28"/>
        </w:rPr>
        <w:t>8</w:t>
      </w:r>
      <w:r w:rsidRPr="002C443D">
        <w:rPr>
          <w:rStyle w:val="FontStyle11"/>
          <w:b/>
          <w:sz w:val="28"/>
          <w:szCs w:val="28"/>
        </w:rPr>
        <w:t>/201</w:t>
      </w:r>
      <w:r w:rsidR="00696C53">
        <w:rPr>
          <w:rStyle w:val="FontStyle11"/>
          <w:b/>
          <w:sz w:val="28"/>
          <w:szCs w:val="28"/>
        </w:rPr>
        <w:t>9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новорожденного </w:t>
      </w:r>
      <w:r w:rsidR="00696C53">
        <w:rPr>
          <w:rFonts w:ascii="Times New Roman" w:hAnsi="Times New Roman" w:cs="Times New Roman"/>
          <w:spacing w:val="1"/>
          <w:sz w:val="28"/>
          <w:szCs w:val="28"/>
          <w:lang w:val="ru-RU"/>
        </w:rPr>
        <w:t>в родовспомогательном учреждении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 Правила соблюдения санитарно-гигиенических норм при уходе за новорожденным ребенком.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пуповинного остатка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C5645E" w:rsidRPr="008C676B" w:rsidRDefault="00C5645E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 туалет грудного ребенка</w:t>
      </w:r>
      <w:r w:rsidR="00C5645E"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гигиеническую ванну новорожденному ребенку. Показания, противопоказания, правила обработки и хранения ванночки.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носоглоточного катетера.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Показания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противопоказания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использованного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инструментария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696C53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6C53">
        <w:rPr>
          <w:rFonts w:ascii="Times New Roman" w:hAnsi="Times New Roman" w:cs="Times New Roman"/>
          <w:sz w:val="28"/>
          <w:szCs w:val="28"/>
          <w:lang w:val="ru-RU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  <w:r w:rsidR="00C5645E" w:rsidRPr="00696C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0,75г стрептомицина. Во флаконе доза 1000 000 </w:t>
      </w:r>
      <w:r w:rsidRPr="008C676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</w:t>
      </w:r>
      <w:proofErr w:type="gramStart"/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Ч-</w:t>
      </w:r>
      <w:proofErr w:type="gramEnd"/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инфекции при выполнении инъекций (Приказ № 351 МЗРБ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3D41F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Постановление </w:t>
      </w:r>
      <w:r w:rsidR="00326D7E">
        <w:rPr>
          <w:rFonts w:ascii="Times New Roman" w:hAnsi="Times New Roman" w:cs="Times New Roman"/>
          <w:spacing w:val="1"/>
          <w:sz w:val="28"/>
          <w:szCs w:val="28"/>
          <w:lang w:val="ru-RU"/>
        </w:rPr>
        <w:t>№ 11</w:t>
      </w:r>
      <w:r w:rsidR="00C05FC5" w:rsidRP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МЗРБ)</w:t>
      </w:r>
      <w:r w:rsidR="00326D7E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C676B" w:rsidRDefault="00C5645E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периферические вены, в т.ч. вены свода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3CB0" w:rsidRPr="008C676B" w:rsidRDefault="003A3CB0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C676B" w:rsidRDefault="00673CF4" w:rsidP="008C676B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Измерить температуру тела ребенку 4 месяцев. Зарегистрировать данные в температурном листе.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Виды лечебных ванн (с КМ</w:t>
      </w:r>
      <w:r w:rsidRPr="008C676B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8C676B">
        <w:rPr>
          <w:rFonts w:ascii="Times New Roman" w:hAnsi="Times New Roman" w:cs="Times New Roman"/>
          <w:spacing w:val="-2"/>
          <w:sz w:val="28"/>
          <w:szCs w:val="28"/>
          <w:vertAlign w:val="subscript"/>
          <w:lang w:val="ru-RU"/>
        </w:rPr>
        <w:t>4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крахмальные, солевые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). Правила и длительность назначения.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Выписать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транспортировать</w:t>
      </w:r>
      <w:proofErr w:type="spellEnd"/>
      <w:r w:rsidRPr="008C67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76B">
        <w:rPr>
          <w:rFonts w:ascii="Times New Roman" w:hAnsi="Times New Roman" w:cs="Times New Roman"/>
          <w:sz w:val="28"/>
          <w:szCs w:val="28"/>
        </w:rPr>
        <w:t>лабораторию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3CB0" w:rsidRPr="008C676B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цефтриаксона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C676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</w:t>
      </w:r>
      <w:r w:rsidR="00C05FC5" w:rsidRP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МЗРБ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3A3CB0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мочи на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общеклинический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анализ, анализ мочи по Нечипоренко, по </w:t>
      </w:r>
      <w:proofErr w:type="spellStart"/>
      <w:r w:rsidRPr="008C676B">
        <w:rPr>
          <w:rFonts w:ascii="Times New Roman" w:hAnsi="Times New Roman" w:cs="Times New Roman"/>
          <w:sz w:val="28"/>
          <w:szCs w:val="28"/>
          <w:lang w:val="ru-RU"/>
        </w:rPr>
        <w:t>Зимницкому</w:t>
      </w:r>
      <w:proofErr w:type="spellEnd"/>
      <w:r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807C64" w:rsidRPr="008C676B" w:rsidRDefault="00807C64" w:rsidP="00807C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Ввести подкожно раствор кордиамина ребенку 7 лет.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</w:t>
      </w:r>
      <w:r w:rsidRP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МЗРБ).</w:t>
      </w:r>
    </w:p>
    <w:p w:rsidR="008C676B" w:rsidRDefault="008C676B" w:rsidP="0080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C64" w:rsidRDefault="00807C64" w:rsidP="0080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>Рассмотрено</w:t>
      </w: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 xml:space="preserve">на заседании ЦК №3 </w:t>
      </w:r>
    </w:p>
    <w:p w:rsidR="008C676B" w:rsidRPr="001923C8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сестринского дела и манипуляционной техники</w:t>
      </w:r>
    </w:p>
    <w:p w:rsidR="008C676B" w:rsidRPr="008C676B" w:rsidRDefault="005F14D3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протокол 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76B" w:rsidRPr="008C676B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 xml:space="preserve"> ____</w:t>
      </w: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lastRenderedPageBreak/>
        <w:t xml:space="preserve"> Председатель ЦК № 3 </w:t>
      </w:r>
    </w:p>
    <w:p w:rsidR="008C676B" w:rsidRDefault="008C676B" w:rsidP="005B45E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 xml:space="preserve"> _______</w:t>
      </w:r>
      <w:r w:rsidR="003D6346">
        <w:rPr>
          <w:rFonts w:ascii="Times New Roman" w:hAnsi="Times New Roman"/>
          <w:sz w:val="28"/>
          <w:szCs w:val="28"/>
          <w:lang w:val="ru-RU"/>
        </w:rPr>
        <w:t>________</w:t>
      </w:r>
      <w:r w:rsidRPr="008C6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4D3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5F14D3">
        <w:rPr>
          <w:rFonts w:ascii="Times New Roman" w:hAnsi="Times New Roman"/>
          <w:sz w:val="28"/>
          <w:szCs w:val="28"/>
          <w:lang w:val="ru-RU"/>
        </w:rPr>
        <w:t>Карпович</w:t>
      </w:r>
      <w:proofErr w:type="spellEnd"/>
    </w:p>
    <w:p w:rsidR="0020676A" w:rsidRDefault="0020676A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C53" w:rsidRDefault="00696C53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92B" w:rsidRPr="0023292B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292B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23292B" w:rsidRPr="0023292B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292B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</w:t>
      </w:r>
    </w:p>
    <w:p w:rsidR="0023292B" w:rsidRPr="0023292B" w:rsidRDefault="0023292B" w:rsidP="0023292B">
      <w:pPr>
        <w:spacing w:after="0"/>
        <w:jc w:val="center"/>
        <w:rPr>
          <w:sz w:val="14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413"/>
        <w:gridCol w:w="2268"/>
        <w:gridCol w:w="1808"/>
      </w:tblGrid>
      <w:tr w:rsidR="0023292B" w:rsidRPr="0023292B" w:rsidTr="0020676A">
        <w:trPr>
          <w:trHeight w:val="471"/>
        </w:trPr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spellEnd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proofErr w:type="spellEnd"/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Чичко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</w:tr>
      <w:tr w:rsidR="0023292B" w:rsidRPr="0023292B" w:rsidTr="0020676A">
        <w:trPr>
          <w:trHeight w:val="294"/>
        </w:trPr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Ежова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В. Ежова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Г.И. Ежов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Многоуровневые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Ежова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2008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Доклиническая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Ежова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педиатрии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Чичко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Вскармливание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Ежова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Жерносек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«Комплексная оценка состояния здоровья ребёнка»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Галькевич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  <w:tr w:rsidR="0023292B" w:rsidRPr="00807C64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«Консультирование подростков и молодежи по вопросам репродуктивного здоровья»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1808" w:type="dxa"/>
          </w:tcPr>
          <w:p w:rsidR="0023292B" w:rsidRPr="0020676A" w:rsidRDefault="0023292B" w:rsidP="002329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67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Минск,  Фонд ООН в области народонаселения 2006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5 июля 2017г. № 73</w:t>
            </w:r>
            <w:proofErr w:type="gram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 утверждении Санитарных норм и правил 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№11 «Об утверждении Санитарных норм и правил «Требования к организации и проведению санитарно-противоэпидемических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№112. санитарные нормы и правила  «Требования к организации и проведению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санитарно-противоэпиде-мических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мероприятий, направленных на предупреждение возникновения и распространения вирусных гепатитов» </w:t>
            </w:r>
            <w:proofErr w:type="gramEnd"/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Министерство здравоохранения Республики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165 от 25.11. 2003 г.   </w:t>
            </w:r>
          </w:p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дезинфекции и стерилизации в учреждениях здравоохранения»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25.11.2003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52 от 31.05.2012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дифтерии»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31.05.2012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172 от 05.11.2012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ветряной оспы»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05.11.2012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217 от 29.12.2012 г. Об утверждении санитарных норм и правил.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гриппа»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29.12.2012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351 от 16.12.1998 г. </w:t>
            </w:r>
          </w:p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«Сборник нормативных документов по проблеме ВИЧ – СПИД»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Министерство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16.12.1998 </w:t>
            </w:r>
          </w:p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696C53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  <w:r w:rsidR="0023292B"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191 от 27.02.2014 г.  </w:t>
            </w:r>
          </w:p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Инструкции по тактике проведения профилактических прививок среди населения в Республике Беларусь»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27.02.2014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114 от 02.12.2013г. Министерства здравоохранения Республики Беларусь 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02.12.2013</w:t>
            </w:r>
          </w:p>
        </w:tc>
      </w:tr>
      <w:tr w:rsidR="00696C53" w:rsidRPr="00BF6858" w:rsidTr="0020676A">
        <w:tc>
          <w:tcPr>
            <w:tcW w:w="710" w:type="dxa"/>
          </w:tcPr>
          <w:p w:rsidR="00696C53" w:rsidRPr="00696C53" w:rsidRDefault="00696C53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6413" w:type="dxa"/>
          </w:tcPr>
          <w:p w:rsidR="00696C53" w:rsidRPr="00BF6858" w:rsidRDefault="00696C53" w:rsidP="00BF6858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  <w:r w:rsidR="00BF6858"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здравоохранения Республики Беларусь </w:t>
            </w:r>
            <w:r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42</w:t>
            </w:r>
            <w:r w:rsidR="00BF6858"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17</w:t>
            </w:r>
            <w:r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.05.2018г.</w:t>
            </w:r>
            <w:r w:rsidR="00BF6858"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«Национальный календарь профилактических прививок»</w:t>
            </w:r>
          </w:p>
        </w:tc>
        <w:tc>
          <w:tcPr>
            <w:tcW w:w="2268" w:type="dxa"/>
          </w:tcPr>
          <w:p w:rsidR="00696C53" w:rsidRPr="0023292B" w:rsidRDefault="00696C53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696C53" w:rsidRPr="00696C53" w:rsidRDefault="00BF6858" w:rsidP="00BF685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BF6858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Министерства здравоохранения Республики Беларусь № 31 от 29.03.2012 г.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0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НиП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ОКИ»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29.03.2012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 286 от 22.12.2004 г. «О мерах по совершенствованию профилактики и диагностики менингококковой инфекции»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22.12.2004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1301 от 29.12.2015</w:t>
            </w:r>
            <w:r w:rsidRPr="0023292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«О        мерах по снижению антибактериальной </w:t>
            </w:r>
            <w:proofErr w:type="spellStart"/>
            <w:r w:rsidRPr="0023292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резистентности</w:t>
            </w:r>
            <w:proofErr w:type="spellEnd"/>
            <w:r w:rsidRPr="0023292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микроорганизмов»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90 от 15.02.2007г. « Об утверждении клинических протоколов оказания скорой медицинской помощи детскому населению»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15.02.2007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91 от 10.12.2014 «Об объеме и порядке оказания медицинской помощи пациентам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медицинскими работниками, имеющими средне специальное медицинское образование»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Министерство здравоохранения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10.12.2014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здравоохранения Республики Беларусь № 803 от 8.08. 2011г. «Об утверждении инструкции о порядке проведения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туберкулинодиагностики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среди детского населения»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08.08.2011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696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Управления здравоохранения Мин. Обл. исполкома № 447 от 29.12.2012г. «О совершенствованию службы медицинской реабилитации детей </w:t>
            </w:r>
            <w:proofErr w:type="gram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Минской обл.»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696C53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23292B"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№671 «О дополнительных мерах по организации экстренной медицинской помощи» Министерства здравоохранения Республики Беларусь от 18. 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07. 2016 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18.07.2016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1 июня 2017г. №50</w:t>
            </w:r>
            <w:proofErr w:type="gram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83 «Об утверждении клинического протокола «Ранняя диагностика и интенсивная терапия острого респираторного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дистресс-синдрома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пациентов с тяжелыми пневмониями вирусно-бактериальной этиологии».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03.06.2016 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03.06.2016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августа 2016 г. № 96 «Об утверждении Инструкции и порядке проведения диспансеризации»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12.08.2016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здравоохранения Республики Беларусь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1355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Об утверждении Инструкци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по выполнению инъекций и внутривенных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«Образование и молодежная политика».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подпрограмма «Развитие системы дополнительного образования взрослых»;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системы дополнительного образования детей и молодежи»;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«Молодежная политика». Совет министров Республики Беларусь 2016–2020 гг.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Постановление Совета министров Республики Беларусь №250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28.03.2016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«Здоровье народа и демографическая безопасность Республики Беларусь»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и контроль неинфекционных заболеваний»;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ВИЧ-инфекции»;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«Туберкулез»;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«Предупреждение и преодоление пьянства и алкоголизма»;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«Семья и детство». Совет министров Республики Беларусь 2016–2020 гг.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14.03.2016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33 «Об утверждении форм учетной медицинской документации         организаций здравоохранения»</w:t>
            </w:r>
          </w:p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17.02.2004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75 «Об утверждении форм учетной медицинской    документации   организаций здравоохранения».</w:t>
            </w:r>
          </w:p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29.03.2004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BF6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792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форм первичной медицинской документации в организации здравоохранения, оказывающих стационарную помощь»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01.10.2007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BF6858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  <w:r w:rsidR="0023292B" w:rsidRPr="0023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№710 «Об утверждении форм первичной медицинской документации в амбулаторно-поликлинических организациях»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proofErr w:type="spellEnd"/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30.08.2007</w:t>
            </w:r>
          </w:p>
        </w:tc>
      </w:tr>
    </w:tbl>
    <w:p w:rsidR="0023292B" w:rsidRPr="008C676B" w:rsidRDefault="0023292B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292B" w:rsidRPr="008C676B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E2" w:rsidRDefault="00EE5BE2" w:rsidP="00826455">
      <w:pPr>
        <w:spacing w:after="0" w:line="240" w:lineRule="auto"/>
      </w:pPr>
      <w:r>
        <w:separator/>
      </w:r>
    </w:p>
  </w:endnote>
  <w:endnote w:type="continuationSeparator" w:id="0">
    <w:p w:rsidR="00EE5BE2" w:rsidRDefault="00EE5BE2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E2" w:rsidRDefault="00EE5BE2" w:rsidP="00826455">
      <w:pPr>
        <w:spacing w:after="0" w:line="240" w:lineRule="auto"/>
      </w:pPr>
      <w:r>
        <w:separator/>
      </w:r>
    </w:p>
  </w:footnote>
  <w:footnote w:type="continuationSeparator" w:id="0">
    <w:p w:rsidR="00EE5BE2" w:rsidRDefault="00EE5BE2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5C"/>
    <w:rsid w:val="00005E27"/>
    <w:rsid w:val="00027E74"/>
    <w:rsid w:val="00171FCA"/>
    <w:rsid w:val="001D3752"/>
    <w:rsid w:val="0020676A"/>
    <w:rsid w:val="0023292B"/>
    <w:rsid w:val="00250F1E"/>
    <w:rsid w:val="00263C96"/>
    <w:rsid w:val="00281451"/>
    <w:rsid w:val="002C443D"/>
    <w:rsid w:val="002F378F"/>
    <w:rsid w:val="00326D7E"/>
    <w:rsid w:val="0033655C"/>
    <w:rsid w:val="00337290"/>
    <w:rsid w:val="003407CA"/>
    <w:rsid w:val="003A17E1"/>
    <w:rsid w:val="003A3CB0"/>
    <w:rsid w:val="003A5006"/>
    <w:rsid w:val="003C2193"/>
    <w:rsid w:val="003D41F2"/>
    <w:rsid w:val="003D6346"/>
    <w:rsid w:val="00487960"/>
    <w:rsid w:val="00493694"/>
    <w:rsid w:val="004B0D4A"/>
    <w:rsid w:val="00527095"/>
    <w:rsid w:val="005A237F"/>
    <w:rsid w:val="005B45EB"/>
    <w:rsid w:val="005D3DE6"/>
    <w:rsid w:val="005E1C87"/>
    <w:rsid w:val="005F14D3"/>
    <w:rsid w:val="006544D3"/>
    <w:rsid w:val="00673CF4"/>
    <w:rsid w:val="00680C52"/>
    <w:rsid w:val="00696C53"/>
    <w:rsid w:val="006A573A"/>
    <w:rsid w:val="006C4B51"/>
    <w:rsid w:val="006D7805"/>
    <w:rsid w:val="00733D49"/>
    <w:rsid w:val="00762A5A"/>
    <w:rsid w:val="00775B7C"/>
    <w:rsid w:val="00807C64"/>
    <w:rsid w:val="008214F4"/>
    <w:rsid w:val="008242E1"/>
    <w:rsid w:val="00826455"/>
    <w:rsid w:val="00830D1C"/>
    <w:rsid w:val="00874168"/>
    <w:rsid w:val="00877593"/>
    <w:rsid w:val="008C676B"/>
    <w:rsid w:val="009051B4"/>
    <w:rsid w:val="00957A11"/>
    <w:rsid w:val="009A4177"/>
    <w:rsid w:val="00A743ED"/>
    <w:rsid w:val="00A94EA4"/>
    <w:rsid w:val="00AD6B57"/>
    <w:rsid w:val="00B84C8D"/>
    <w:rsid w:val="00B917AA"/>
    <w:rsid w:val="00BC2E03"/>
    <w:rsid w:val="00BF6858"/>
    <w:rsid w:val="00C05FC5"/>
    <w:rsid w:val="00C131C8"/>
    <w:rsid w:val="00C5645E"/>
    <w:rsid w:val="00C82CD4"/>
    <w:rsid w:val="00CF166F"/>
    <w:rsid w:val="00D140AA"/>
    <w:rsid w:val="00D43AB8"/>
    <w:rsid w:val="00D50832"/>
    <w:rsid w:val="00EA086D"/>
    <w:rsid w:val="00EB0842"/>
    <w:rsid w:val="00EE5BE2"/>
    <w:rsid w:val="00EF0BA6"/>
    <w:rsid w:val="00F3391F"/>
    <w:rsid w:val="00FB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89E0-FBD8-4C7B-BAD2-48736309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36</cp:revision>
  <cp:lastPrinted>2019-05-02T12:13:00Z</cp:lastPrinted>
  <dcterms:created xsi:type="dcterms:W3CDTF">2013-04-11T10:33:00Z</dcterms:created>
  <dcterms:modified xsi:type="dcterms:W3CDTF">2019-06-10T09:18:00Z</dcterms:modified>
</cp:coreProperties>
</file>