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B8" w:rsidRPr="000C5090" w:rsidRDefault="005E0FB8" w:rsidP="004C1238">
      <w:pPr>
        <w:jc w:val="center"/>
        <w:rPr>
          <w:b/>
        </w:rPr>
      </w:pPr>
      <w:r w:rsidRPr="000C5090">
        <w:rPr>
          <w:b/>
        </w:rPr>
        <w:t xml:space="preserve">Перечень манипуляций </w:t>
      </w:r>
    </w:p>
    <w:p w:rsidR="008D324D" w:rsidRDefault="005E0FB8" w:rsidP="004C1238">
      <w:pPr>
        <w:jc w:val="center"/>
        <w:rPr>
          <w:b/>
        </w:rPr>
      </w:pPr>
      <w:r w:rsidRPr="000C5090">
        <w:rPr>
          <w:b/>
        </w:rPr>
        <w:t xml:space="preserve">для </w:t>
      </w:r>
      <w:r w:rsidR="008D324D">
        <w:rPr>
          <w:b/>
        </w:rPr>
        <w:t>проведения экзамена</w:t>
      </w:r>
    </w:p>
    <w:p w:rsidR="005E0FB8" w:rsidRPr="000C5090" w:rsidRDefault="005E0FB8" w:rsidP="004C1238">
      <w:pPr>
        <w:jc w:val="center"/>
        <w:rPr>
          <w:b/>
        </w:rPr>
      </w:pPr>
      <w:r w:rsidRPr="000C5090">
        <w:rPr>
          <w:b/>
        </w:rPr>
        <w:t xml:space="preserve"> по дисциплине «Терапия» </w:t>
      </w:r>
    </w:p>
    <w:p w:rsidR="005E0FB8" w:rsidRPr="000C5090" w:rsidRDefault="005E0FB8" w:rsidP="004C1238">
      <w:pPr>
        <w:jc w:val="center"/>
        <w:rPr>
          <w:b/>
        </w:rPr>
      </w:pPr>
      <w:r w:rsidRPr="000C5090">
        <w:rPr>
          <w:b/>
        </w:rPr>
        <w:t>отделени</w:t>
      </w:r>
      <w:r w:rsidR="008D324D">
        <w:rPr>
          <w:b/>
        </w:rPr>
        <w:t>е</w:t>
      </w:r>
      <w:r w:rsidRPr="000C5090">
        <w:rPr>
          <w:b/>
        </w:rPr>
        <w:t xml:space="preserve"> «Лечебное дело», </w:t>
      </w:r>
      <w:r w:rsidRPr="000C5090">
        <w:rPr>
          <w:b/>
          <w:lang w:val="en-US"/>
        </w:rPr>
        <w:t>III</w:t>
      </w:r>
      <w:r>
        <w:rPr>
          <w:b/>
        </w:rPr>
        <w:t xml:space="preserve"> курс  </w:t>
      </w:r>
      <w:r w:rsidR="008D324D">
        <w:rPr>
          <w:b/>
        </w:rPr>
        <w:t>5</w:t>
      </w:r>
      <w:r>
        <w:rPr>
          <w:b/>
        </w:rPr>
        <w:t xml:space="preserve"> семестр</w:t>
      </w:r>
    </w:p>
    <w:p w:rsidR="005E0FB8" w:rsidRPr="000C5090" w:rsidRDefault="005E0FB8" w:rsidP="004C1238">
      <w:pPr>
        <w:jc w:val="center"/>
        <w:rPr>
          <w:b/>
        </w:rPr>
      </w:pPr>
      <w:r w:rsidRPr="008D324D">
        <w:rPr>
          <w:b/>
        </w:rPr>
        <w:t>201</w:t>
      </w:r>
      <w:r w:rsidR="00F50009">
        <w:rPr>
          <w:b/>
        </w:rPr>
        <w:t>7</w:t>
      </w:r>
      <w:r w:rsidRPr="008D324D">
        <w:rPr>
          <w:b/>
        </w:rPr>
        <w:t>/20</w:t>
      </w:r>
      <w:r w:rsidRPr="000C5090">
        <w:rPr>
          <w:b/>
        </w:rPr>
        <w:t>1</w:t>
      </w:r>
      <w:r w:rsidR="00F50009">
        <w:rPr>
          <w:b/>
        </w:rPr>
        <w:t>8</w:t>
      </w:r>
      <w:r>
        <w:rPr>
          <w:b/>
        </w:rPr>
        <w:t xml:space="preserve"> </w:t>
      </w:r>
      <w:r w:rsidRPr="000C5090">
        <w:rPr>
          <w:b/>
        </w:rPr>
        <w:t>уч</w:t>
      </w:r>
      <w:r>
        <w:rPr>
          <w:b/>
        </w:rPr>
        <w:t>ебный</w:t>
      </w:r>
      <w:r w:rsidRPr="000C5090">
        <w:rPr>
          <w:b/>
        </w:rPr>
        <w:t xml:space="preserve"> год</w:t>
      </w:r>
    </w:p>
    <w:p w:rsidR="005E0FB8" w:rsidRPr="000C5090" w:rsidRDefault="004C1238" w:rsidP="004C1238">
      <w:pPr>
        <w:numPr>
          <w:ilvl w:val="0"/>
          <w:numId w:val="3"/>
        </w:numPr>
        <w:tabs>
          <w:tab w:val="clear" w:pos="1353"/>
          <w:tab w:val="num" w:pos="-2694"/>
          <w:tab w:val="num" w:pos="709"/>
        </w:tabs>
        <w:ind w:left="709" w:hanging="709"/>
        <w:jc w:val="both"/>
        <w:rPr>
          <w:bCs/>
        </w:rPr>
      </w:pPr>
      <w:r>
        <w:rPr>
          <w:bCs/>
        </w:rPr>
        <w:t>Катетеризация мочевого пузыря мягким катетером женщине. Показания, обработка инструментов медицинского назначения после использования.</w:t>
      </w:r>
    </w:p>
    <w:p w:rsidR="004C1238" w:rsidRPr="000C5090" w:rsidRDefault="004C1238" w:rsidP="004C1238">
      <w:pPr>
        <w:numPr>
          <w:ilvl w:val="0"/>
          <w:numId w:val="3"/>
        </w:numPr>
        <w:tabs>
          <w:tab w:val="clear" w:pos="1353"/>
          <w:tab w:val="num" w:pos="-2694"/>
          <w:tab w:val="num" w:pos="709"/>
        </w:tabs>
        <w:ind w:left="709" w:hanging="709"/>
        <w:jc w:val="both"/>
        <w:rPr>
          <w:bCs/>
        </w:rPr>
      </w:pPr>
      <w:r>
        <w:rPr>
          <w:bCs/>
        </w:rPr>
        <w:t>Катетеризация мочевого пузыря мягким катетером мужчине. Показания, обработка инструментов медицинского назначения после использования.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Измерение артериального давления. Нормальные показатели артериального давления</w:t>
      </w:r>
      <w:r>
        <w:rPr>
          <w:bCs/>
        </w:rPr>
        <w:t>.</w:t>
      </w:r>
      <w:r w:rsidRPr="000C5090">
        <w:rPr>
          <w:bCs/>
        </w:rPr>
        <w:t xml:space="preserve"> Графическая регистрация полученных данных в температурном листе.</w:t>
      </w:r>
    </w:p>
    <w:p w:rsidR="005E0FB8" w:rsidRPr="000C5090" w:rsidRDefault="005E0FB8" w:rsidP="004C1238">
      <w:pPr>
        <w:pStyle w:val="a7"/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Подготовка пациентов к рентгенологическим  исследованиям</w:t>
      </w:r>
      <w:r w:rsidR="004C1238">
        <w:rPr>
          <w:bCs/>
        </w:rPr>
        <w:t>.</w:t>
      </w:r>
    </w:p>
    <w:p w:rsidR="005E0FB8" w:rsidRPr="000C5090" w:rsidRDefault="005E0FB8" w:rsidP="004C1238">
      <w:pPr>
        <w:pStyle w:val="a7"/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Подготовка пациентов к эндоскопическим исследованиям.</w:t>
      </w:r>
    </w:p>
    <w:p w:rsidR="005E0FB8" w:rsidRPr="000C5090" w:rsidRDefault="004C1238" w:rsidP="004C1238">
      <w:pPr>
        <w:pStyle w:val="a7"/>
        <w:tabs>
          <w:tab w:val="num" w:pos="-2410"/>
          <w:tab w:val="num" w:pos="709"/>
        </w:tabs>
        <w:ind w:left="709" w:hanging="709"/>
        <w:jc w:val="both"/>
        <w:rPr>
          <w:bCs/>
        </w:rPr>
      </w:pPr>
      <w:r>
        <w:rPr>
          <w:bCs/>
        </w:rPr>
        <w:t xml:space="preserve">         </w:t>
      </w:r>
      <w:r w:rsidR="005E0FB8" w:rsidRPr="000C5090">
        <w:rPr>
          <w:bCs/>
        </w:rPr>
        <w:t xml:space="preserve">Психологическая подготовка к исследованиям. </w:t>
      </w:r>
      <w:r>
        <w:rPr>
          <w:bCs/>
        </w:rPr>
        <w:t>Профилактика инфекционных заболеваний при эндоскопических вмешательствах.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 xml:space="preserve">Техника забора крови для биохимического исследования. </w:t>
      </w:r>
      <w:r w:rsidR="004C1238">
        <w:rPr>
          <w:bCs/>
        </w:rPr>
        <w:t>Профилактика внутр</w:t>
      </w:r>
      <w:r w:rsidR="00D76DD6">
        <w:rPr>
          <w:bCs/>
        </w:rPr>
        <w:t>ибольничного заражения ПВГ, ВИЧ-инфекцией. Действия в аварийных ситуациях согласно постановлени</w:t>
      </w:r>
      <w:r w:rsidR="001C7D58">
        <w:rPr>
          <w:bCs/>
        </w:rPr>
        <w:t>я</w:t>
      </w:r>
      <w:r w:rsidR="00D76DD6">
        <w:rPr>
          <w:bCs/>
        </w:rPr>
        <w:t xml:space="preserve"> №11. 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Техника забора крови на ВИЧ. Правила транспортировки крови.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Сбор мочи на исследования: общий анализ, анализ по Зимницкому, анализ по Нечипоренко, на бактериологический посев, на чувствительность к антибиотикам. Подготовить пациента, объяснить суть процедуры, оформить направление.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Измерение суточного диуреза. Подсчет водного баланса.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 xml:space="preserve">Техника постановки </w:t>
      </w:r>
      <w:r w:rsidR="00D76DD6">
        <w:rPr>
          <w:bCs/>
        </w:rPr>
        <w:t>очистительной клизмы</w:t>
      </w:r>
      <w:r w:rsidRPr="000C5090">
        <w:rPr>
          <w:bCs/>
        </w:rPr>
        <w:t>. Показания, противопоказания</w:t>
      </w:r>
      <w:r w:rsidR="00D76DD6">
        <w:rPr>
          <w:bCs/>
        </w:rPr>
        <w:t>.</w:t>
      </w:r>
      <w:r w:rsidRPr="000C5090">
        <w:rPr>
          <w:bCs/>
        </w:rPr>
        <w:t xml:space="preserve"> </w:t>
      </w:r>
      <w:r w:rsidR="00D76DD6">
        <w:rPr>
          <w:bCs/>
        </w:rPr>
        <w:t>Обработка инструментов медицинского назначения после использования</w:t>
      </w:r>
      <w:r w:rsidRPr="000C5090">
        <w:rPr>
          <w:bCs/>
        </w:rPr>
        <w:t>.</w:t>
      </w:r>
    </w:p>
    <w:p w:rsidR="005E0FB8" w:rsidRDefault="005E0FB8" w:rsidP="004C1238">
      <w:pPr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 xml:space="preserve">Техника постановки </w:t>
      </w:r>
      <w:r w:rsidR="00D76DD6">
        <w:rPr>
          <w:bCs/>
        </w:rPr>
        <w:t>сифонной клизмы. Показания, противопоказания. Обработка инструментов медицинского назначения после использования</w:t>
      </w:r>
      <w:r w:rsidRPr="000C5090">
        <w:rPr>
          <w:bCs/>
        </w:rPr>
        <w:t>.</w:t>
      </w:r>
    </w:p>
    <w:p w:rsidR="00D76DD6" w:rsidRPr="000C5090" w:rsidRDefault="00D76DD6" w:rsidP="004C1238">
      <w:pPr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>
        <w:rPr>
          <w:bCs/>
        </w:rPr>
        <w:t xml:space="preserve">Техника промывания желудка зондовым и </w:t>
      </w:r>
      <w:proofErr w:type="spellStart"/>
      <w:r>
        <w:rPr>
          <w:bCs/>
        </w:rPr>
        <w:t>беззондовым</w:t>
      </w:r>
      <w:proofErr w:type="spellEnd"/>
      <w:r>
        <w:rPr>
          <w:bCs/>
        </w:rPr>
        <w:t xml:space="preserve"> способом. </w:t>
      </w:r>
      <w:r w:rsidR="006F3B44">
        <w:rPr>
          <w:bCs/>
        </w:rPr>
        <w:t xml:space="preserve"> Показания, противопоказания. Обработка инструментов после использования.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Проведение внутрикожно</w:t>
      </w:r>
      <w:r>
        <w:rPr>
          <w:bCs/>
        </w:rPr>
        <w:t>й</w:t>
      </w:r>
      <w:r w:rsidRPr="000C5090">
        <w:rPr>
          <w:bCs/>
        </w:rPr>
        <w:t xml:space="preserve"> пробы на чувствительность к антибиотикам.</w:t>
      </w:r>
      <w:r>
        <w:rPr>
          <w:bCs/>
        </w:rPr>
        <w:t xml:space="preserve"> Оценка результатов.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Ввести внутримышечно 0,5 г ампициллина. Методика разведения, постинъекционные осложнения, причины и их профилактика. Обработка шприцев и игл после проведения инъекции.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  <w:rPr>
          <w:bCs/>
        </w:rPr>
      </w:pPr>
      <w:r>
        <w:rPr>
          <w:bCs/>
        </w:rPr>
        <w:t xml:space="preserve"> </w:t>
      </w:r>
      <w:r w:rsidRPr="000C5090">
        <w:rPr>
          <w:bCs/>
        </w:rPr>
        <w:t>Ввести внутримышечно 1,0 г цефазолина. Методика разведения, постинъекционные осложнения, причины и их профилактика. Обработка шприцев и игл после проведения инъекции.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Ввести внутривенно 10,0 мл - 2,4% раствор эуфиллина. Особенности введения, постинъекционные осложнения, причины и их профилактика. Обработка использованного инструментария.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Ввести внутривенно раствор кальция хлорида 10% - 10мл. Особенности введения, постинъекционные осложнения, причины и их профилактика. Обработка использованного инструментария.</w:t>
      </w:r>
    </w:p>
    <w:p w:rsidR="005E0FB8" w:rsidRPr="000C5090" w:rsidRDefault="005E0FB8" w:rsidP="004C1238">
      <w:pPr>
        <w:widowControl w:val="0"/>
        <w:numPr>
          <w:ilvl w:val="0"/>
          <w:numId w:val="3"/>
        </w:numPr>
        <w:tabs>
          <w:tab w:val="clear" w:pos="1353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0C5090">
        <w:t xml:space="preserve">Ввести подкожно раствор </w:t>
      </w:r>
      <w:r>
        <w:t>фентонила 2</w:t>
      </w:r>
      <w:r w:rsidRPr="000C5090">
        <w:t xml:space="preserve">% - 1мл. Постинъекционные </w:t>
      </w:r>
      <w:r w:rsidRPr="000C5090">
        <w:lastRenderedPageBreak/>
        <w:t>осложнения, профилактика. Нормативный документ, регламентирующий правила хранения и введения наркотических лекарственных средств, заполнение меддокументации.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709"/>
        </w:tabs>
        <w:ind w:left="709" w:hanging="709"/>
        <w:jc w:val="both"/>
        <w:rPr>
          <w:bCs/>
        </w:rPr>
      </w:pPr>
      <w:r w:rsidRPr="000C5090">
        <w:rPr>
          <w:bCs/>
        </w:rPr>
        <w:t>Подготовить и подключить к пациенту инфузионную систему одноразового использования. Обработка системы после использования.</w:t>
      </w:r>
    </w:p>
    <w:p w:rsidR="005E0FB8" w:rsidRPr="00437717" w:rsidRDefault="005E0FB8" w:rsidP="004C1238">
      <w:pPr>
        <w:numPr>
          <w:ilvl w:val="0"/>
          <w:numId w:val="3"/>
        </w:numPr>
        <w:tabs>
          <w:tab w:val="clear" w:pos="1353"/>
          <w:tab w:val="num" w:pos="709"/>
        </w:tabs>
        <w:ind w:left="709" w:hanging="709"/>
        <w:jc w:val="both"/>
        <w:rPr>
          <w:bCs/>
        </w:rPr>
      </w:pPr>
      <w:r w:rsidRPr="00437717">
        <w:rPr>
          <w:bCs/>
        </w:rPr>
        <w:t>Проведение дезинфекции медицинского инструментария различными метод</w:t>
      </w:r>
      <w:r w:rsidR="006F3B44">
        <w:rPr>
          <w:bCs/>
        </w:rPr>
        <w:t xml:space="preserve">ами, </w:t>
      </w:r>
      <w:proofErr w:type="gramStart"/>
      <w:r w:rsidR="006F3B44">
        <w:rPr>
          <w:bCs/>
        </w:rPr>
        <w:t>согласно приказа</w:t>
      </w:r>
      <w:proofErr w:type="gramEnd"/>
      <w:r w:rsidR="006F3B44">
        <w:rPr>
          <w:bCs/>
        </w:rPr>
        <w:t xml:space="preserve"> МЗ РБ №165.</w:t>
      </w:r>
      <w:r w:rsidRPr="00437717">
        <w:rPr>
          <w:bCs/>
        </w:rPr>
        <w:t xml:space="preserve"> </w:t>
      </w:r>
    </w:p>
    <w:p w:rsidR="005E0FB8" w:rsidRPr="000C5090" w:rsidRDefault="005E0FB8" w:rsidP="004C1238">
      <w:pPr>
        <w:pStyle w:val="a7"/>
        <w:numPr>
          <w:ilvl w:val="0"/>
          <w:numId w:val="3"/>
        </w:numPr>
        <w:tabs>
          <w:tab w:val="clear" w:pos="1353"/>
          <w:tab w:val="num" w:pos="709"/>
        </w:tabs>
        <w:ind w:left="709" w:hanging="709"/>
      </w:pPr>
      <w:r>
        <w:t xml:space="preserve"> Стерилизация. Способы, режимы. </w:t>
      </w:r>
      <w:r w:rsidRPr="000C5090">
        <w:t>Проведение стерилизации инструментов химическим способом.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709"/>
        </w:tabs>
        <w:ind w:left="709" w:hanging="709"/>
      </w:pPr>
      <w:r w:rsidRPr="000C5090">
        <w:t>Оценка качества ПСО. Заполнение журнала.</w:t>
      </w:r>
    </w:p>
    <w:p w:rsidR="005E0FB8" w:rsidRPr="000C5090" w:rsidRDefault="006F3B44" w:rsidP="004C1238">
      <w:pPr>
        <w:numPr>
          <w:ilvl w:val="0"/>
          <w:numId w:val="3"/>
        </w:numPr>
        <w:tabs>
          <w:tab w:val="clear" w:pos="1353"/>
          <w:tab w:val="num" w:pos="709"/>
        </w:tabs>
        <w:ind w:left="709" w:hanging="709"/>
      </w:pPr>
      <w:r>
        <w:t>Ведение бельевого хозяйс</w:t>
      </w:r>
      <w:r w:rsidR="00C165D9">
        <w:t xml:space="preserve">тва, </w:t>
      </w:r>
      <w:proofErr w:type="gramStart"/>
      <w:r w:rsidR="00C165D9">
        <w:t>согласно постановления</w:t>
      </w:r>
      <w:proofErr w:type="gramEnd"/>
      <w:r w:rsidR="00C165D9">
        <w:t xml:space="preserve"> №</w:t>
      </w:r>
      <w:r w:rsidR="00C165D9" w:rsidRPr="00CA3130">
        <w:t xml:space="preserve"> 73</w:t>
      </w:r>
      <w:r w:rsidR="00C165D9">
        <w:t xml:space="preserve"> МЗ РБ</w:t>
      </w:r>
      <w:r w:rsidR="005E0FB8">
        <w:t>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709"/>
        </w:tabs>
        <w:ind w:left="709" w:hanging="709"/>
      </w:pPr>
      <w:r>
        <w:t>Ввести внутрим</w:t>
      </w:r>
      <w:r w:rsidRPr="000C5090">
        <w:t>ышечно</w:t>
      </w:r>
      <w:r>
        <w:t xml:space="preserve">  «</w:t>
      </w:r>
      <w:proofErr w:type="spellStart"/>
      <w:r>
        <w:t>литическую</w:t>
      </w:r>
      <w:proofErr w:type="spellEnd"/>
      <w:r>
        <w:t>»  смесь. Состав, в</w:t>
      </w:r>
      <w:r w:rsidRPr="000C5090">
        <w:t>озможные постинъекционные осложнения. Профилактика.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709"/>
        </w:tabs>
        <w:ind w:left="709" w:hanging="709"/>
      </w:pPr>
      <w:r w:rsidRPr="000C5090">
        <w:t>Ввести в/в 0,05% раствор страфантина 0,5 мл. Постинъекционные осложнения.</w:t>
      </w:r>
      <w:r>
        <w:t xml:space="preserve"> Профилактика.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709"/>
        </w:tabs>
        <w:ind w:left="709" w:hanging="709"/>
      </w:pPr>
      <w:r w:rsidRPr="000C5090">
        <w:t xml:space="preserve">Ввести подкожно </w:t>
      </w:r>
      <w:r>
        <w:t xml:space="preserve"> </w:t>
      </w:r>
      <w:r w:rsidR="006F3B44">
        <w:t>раствор</w:t>
      </w:r>
      <w:r>
        <w:t xml:space="preserve"> </w:t>
      </w:r>
      <w:r w:rsidRPr="000C5090">
        <w:t xml:space="preserve"> инсулина</w:t>
      </w:r>
      <w:r w:rsidR="006F3B44">
        <w:t xml:space="preserve"> 24 ЕД.</w:t>
      </w:r>
      <w:r w:rsidRPr="000C5090">
        <w:t xml:space="preserve"> Постинъекционные осложнения, профилактика, правила введения и хранения инсулина.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709"/>
        </w:tabs>
        <w:ind w:left="709" w:hanging="709"/>
      </w:pPr>
      <w:r w:rsidRPr="000C5090">
        <w:t>Ввести в/м бициллин-5. Особенность введения. Осложнения после инъекций.</w:t>
      </w:r>
    </w:p>
    <w:p w:rsidR="005E0FB8" w:rsidRPr="000C5090" w:rsidRDefault="005E0FB8" w:rsidP="004C1238">
      <w:pPr>
        <w:numPr>
          <w:ilvl w:val="0"/>
          <w:numId w:val="3"/>
        </w:numPr>
        <w:tabs>
          <w:tab w:val="clear" w:pos="1353"/>
          <w:tab w:val="num" w:pos="709"/>
        </w:tabs>
        <w:ind w:left="709" w:hanging="709"/>
      </w:pPr>
      <w:r>
        <w:t xml:space="preserve">  </w:t>
      </w:r>
      <w:r w:rsidRPr="000C5090">
        <w:t>Техника постановки периферического венозного катетера.</w:t>
      </w:r>
      <w:r w:rsidR="006F3B44">
        <w:t xml:space="preserve"> Выбор вены,  осложнения.</w:t>
      </w:r>
    </w:p>
    <w:p w:rsidR="005E0FB8" w:rsidRDefault="006F3B44" w:rsidP="004C1238">
      <w:pPr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</w:pPr>
      <w:r w:rsidRPr="008D324D">
        <w:rPr>
          <w:bCs/>
        </w:rPr>
        <w:t xml:space="preserve">Техника </w:t>
      </w:r>
      <w:r w:rsidR="008D324D" w:rsidRPr="008D324D">
        <w:rPr>
          <w:bCs/>
        </w:rPr>
        <w:t xml:space="preserve">постановки послабляющей клизмы. Показания. </w:t>
      </w:r>
      <w:r w:rsidR="008D324D">
        <w:rPr>
          <w:bCs/>
        </w:rPr>
        <w:t>Обработка инструментов медицинского назначения после использования</w:t>
      </w:r>
      <w:r w:rsidR="005E0FB8" w:rsidRPr="000C5090">
        <w:t>.</w:t>
      </w:r>
    </w:p>
    <w:p w:rsidR="008D324D" w:rsidRDefault="008D324D" w:rsidP="008D324D">
      <w:pPr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</w:pPr>
      <w:r w:rsidRPr="008D324D">
        <w:rPr>
          <w:bCs/>
        </w:rPr>
        <w:t xml:space="preserve">Техника постановки </w:t>
      </w:r>
      <w:r>
        <w:rPr>
          <w:bCs/>
        </w:rPr>
        <w:t>газоотводной</w:t>
      </w:r>
      <w:r w:rsidRPr="008D324D">
        <w:rPr>
          <w:bCs/>
        </w:rPr>
        <w:t xml:space="preserve"> </w:t>
      </w:r>
      <w:r>
        <w:rPr>
          <w:bCs/>
        </w:rPr>
        <w:t>трубки</w:t>
      </w:r>
      <w:r w:rsidRPr="008D324D">
        <w:rPr>
          <w:bCs/>
        </w:rPr>
        <w:t xml:space="preserve">. Показания. </w:t>
      </w:r>
      <w:r>
        <w:rPr>
          <w:bCs/>
        </w:rPr>
        <w:t xml:space="preserve">Противопоказания. </w:t>
      </w:r>
    </w:p>
    <w:p w:rsidR="008D324D" w:rsidRPr="000C5090" w:rsidRDefault="008D324D" w:rsidP="008D324D">
      <w:pPr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</w:pPr>
      <w:r>
        <w:t>Санитарно-противоэпидемический режим в буфетной. Мытье посуды. Составление порци</w:t>
      </w:r>
      <w:r w:rsidR="00CA3130">
        <w:t>онного требования</w:t>
      </w:r>
      <w:r>
        <w:t>.</w:t>
      </w:r>
    </w:p>
    <w:p w:rsidR="008D324D" w:rsidRPr="000C5090" w:rsidRDefault="008D324D" w:rsidP="004C1238">
      <w:pPr>
        <w:numPr>
          <w:ilvl w:val="0"/>
          <w:numId w:val="3"/>
        </w:numPr>
        <w:tabs>
          <w:tab w:val="clear" w:pos="1353"/>
          <w:tab w:val="num" w:pos="-2410"/>
          <w:tab w:val="num" w:pos="709"/>
        </w:tabs>
        <w:ind w:left="709" w:hanging="709"/>
        <w:jc w:val="both"/>
      </w:pPr>
      <w:r>
        <w:t xml:space="preserve">Характеристика лечебных диет. </w:t>
      </w:r>
      <w:proofErr w:type="gramStart"/>
      <w:r>
        <w:t>Контроль за</w:t>
      </w:r>
      <w:proofErr w:type="gramEnd"/>
      <w:r>
        <w:t xml:space="preserve"> передачей продуктов.</w:t>
      </w:r>
    </w:p>
    <w:p w:rsidR="005E0FB8" w:rsidRPr="000C5090" w:rsidRDefault="005E0FB8" w:rsidP="004C1238">
      <w:pPr>
        <w:tabs>
          <w:tab w:val="num" w:pos="709"/>
        </w:tabs>
        <w:ind w:left="709" w:hanging="709"/>
      </w:pPr>
    </w:p>
    <w:sectPr w:rsidR="005E0FB8" w:rsidRPr="000C5090" w:rsidSect="00404282">
      <w:pgSz w:w="11906" w:h="16838"/>
      <w:pgMar w:top="567" w:right="1080" w:bottom="709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4984"/>
    <w:multiLevelType w:val="hybridMultilevel"/>
    <w:tmpl w:val="62DE45E2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A3506"/>
    <w:multiLevelType w:val="hybridMultilevel"/>
    <w:tmpl w:val="B458114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2C362B"/>
    <w:multiLevelType w:val="hybridMultilevel"/>
    <w:tmpl w:val="BE1830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F52E5"/>
    <w:multiLevelType w:val="hybridMultilevel"/>
    <w:tmpl w:val="62DE45E2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A236A2"/>
    <w:multiLevelType w:val="hybridMultilevel"/>
    <w:tmpl w:val="640A3F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F4DFD"/>
    <w:rsid w:val="000C5090"/>
    <w:rsid w:val="001646AC"/>
    <w:rsid w:val="001C7D58"/>
    <w:rsid w:val="00261704"/>
    <w:rsid w:val="002F0E4E"/>
    <w:rsid w:val="003114D3"/>
    <w:rsid w:val="003708EB"/>
    <w:rsid w:val="00395E2F"/>
    <w:rsid w:val="00404282"/>
    <w:rsid w:val="00437717"/>
    <w:rsid w:val="004C1238"/>
    <w:rsid w:val="005528E1"/>
    <w:rsid w:val="005E0FB8"/>
    <w:rsid w:val="00691E4E"/>
    <w:rsid w:val="006F3B44"/>
    <w:rsid w:val="00816C54"/>
    <w:rsid w:val="00862F95"/>
    <w:rsid w:val="008966EB"/>
    <w:rsid w:val="008D324D"/>
    <w:rsid w:val="009236F6"/>
    <w:rsid w:val="0098189D"/>
    <w:rsid w:val="00A03602"/>
    <w:rsid w:val="00A25FF3"/>
    <w:rsid w:val="00AE377C"/>
    <w:rsid w:val="00AE63F3"/>
    <w:rsid w:val="00AF26AC"/>
    <w:rsid w:val="00AF4DFD"/>
    <w:rsid w:val="00BC063C"/>
    <w:rsid w:val="00BC51BD"/>
    <w:rsid w:val="00BD6B09"/>
    <w:rsid w:val="00BF287B"/>
    <w:rsid w:val="00C165D9"/>
    <w:rsid w:val="00CA3130"/>
    <w:rsid w:val="00D76DD6"/>
    <w:rsid w:val="00EA7C6F"/>
    <w:rsid w:val="00F10EAC"/>
    <w:rsid w:val="00F5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DFD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F4DFD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4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F4DFD"/>
    <w:pPr>
      <w:jc w:val="both"/>
    </w:pPr>
    <w:rPr>
      <w:bCs/>
    </w:rPr>
  </w:style>
  <w:style w:type="character" w:customStyle="1" w:styleId="a4">
    <w:name w:val="Основной текст Знак"/>
    <w:basedOn w:val="a0"/>
    <w:link w:val="a3"/>
    <w:semiHidden/>
    <w:rsid w:val="00AF4DF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16C54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816C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C5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DFD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F4DFD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4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F4DFD"/>
    <w:pPr>
      <w:jc w:val="both"/>
    </w:pPr>
    <w:rPr>
      <w:bCs/>
    </w:rPr>
  </w:style>
  <w:style w:type="character" w:customStyle="1" w:styleId="a4">
    <w:name w:val="Основной текст Знак"/>
    <w:basedOn w:val="a0"/>
    <w:link w:val="a3"/>
    <w:semiHidden/>
    <w:rsid w:val="00AF4DF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16C54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816C5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98BF-EF44-49F3-B52C-12613E1C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AdmIraL</dc:creator>
  <cp:keywords/>
  <cp:lastModifiedBy>Admin</cp:lastModifiedBy>
  <cp:revision>2</cp:revision>
  <cp:lastPrinted>2017-11-01T10:33:00Z</cp:lastPrinted>
  <dcterms:created xsi:type="dcterms:W3CDTF">2017-11-15T05:15:00Z</dcterms:created>
  <dcterms:modified xsi:type="dcterms:W3CDTF">2017-11-15T05:15:00Z</dcterms:modified>
</cp:coreProperties>
</file>